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FF73" w14:textId="4347962A" w:rsidR="005620DF" w:rsidRPr="00C8250C" w:rsidRDefault="005620DF" w:rsidP="00C8250C">
      <w:pPr>
        <w:pStyle w:val="Heading1"/>
        <w:jc w:val="center"/>
        <w:rPr>
          <w:color w:val="000000" w:themeColor="text1"/>
        </w:rPr>
      </w:pPr>
      <w:r w:rsidRPr="00C8250C">
        <w:rPr>
          <w:color w:val="000000" w:themeColor="text1"/>
        </w:rPr>
        <w:t>SUNY Project Management Professionals Community of Practice</w:t>
      </w:r>
    </w:p>
    <w:p w14:paraId="618C6FB3" w14:textId="38C19F08" w:rsidR="005620DF" w:rsidRPr="00C8250C" w:rsidRDefault="005620DF" w:rsidP="000703B6">
      <w:pPr>
        <w:pStyle w:val="Heading2"/>
        <w:rPr>
          <w:color w:val="000000" w:themeColor="text1"/>
        </w:rPr>
      </w:pPr>
      <w:r w:rsidRPr="00C8250C">
        <w:rPr>
          <w:color w:val="000000" w:themeColor="text1"/>
        </w:rPr>
        <w:t>Monthly Webinar – Thursday, 6/25/2026 11:00 AM Eastern</w:t>
      </w:r>
    </w:p>
    <w:p w14:paraId="124A2159" w14:textId="2E587FD9" w:rsidR="005620DF" w:rsidRPr="00C8250C" w:rsidRDefault="005620DF" w:rsidP="000703B6">
      <w:pPr>
        <w:pStyle w:val="Heading2"/>
        <w:rPr>
          <w:color w:val="000000" w:themeColor="text1"/>
        </w:rPr>
      </w:pPr>
      <w:r w:rsidRPr="00C8250C">
        <w:rPr>
          <w:color w:val="000000" w:themeColor="text1"/>
        </w:rPr>
        <w:t>Post Meeting Summary</w:t>
      </w:r>
    </w:p>
    <w:p w14:paraId="5CC13AFC" w14:textId="77777777" w:rsidR="000703B6" w:rsidRPr="00C8250C" w:rsidRDefault="000703B6" w:rsidP="000703B6">
      <w:pPr>
        <w:pStyle w:val="NormalWeb"/>
        <w:spacing w:before="0" w:beforeAutospacing="0" w:after="0" w:afterAutospacing="0"/>
        <w:rPr>
          <w:color w:val="000000" w:themeColor="text1"/>
        </w:rPr>
      </w:pPr>
    </w:p>
    <w:p w14:paraId="2F81446B" w14:textId="08C188FD" w:rsidR="00A73FC1" w:rsidRPr="00C8250C" w:rsidRDefault="00A73FC1" w:rsidP="000703B6">
      <w:pPr>
        <w:pStyle w:val="NormalWeb"/>
        <w:spacing w:before="0" w:beforeAutospacing="0" w:after="0" w:afterAutospacing="0"/>
        <w:rPr>
          <w:color w:val="000000" w:themeColor="text1"/>
        </w:rPr>
      </w:pPr>
      <w:r w:rsidRPr="00C8250C">
        <w:rPr>
          <w:color w:val="000000" w:themeColor="text1"/>
        </w:rPr>
        <w:t xml:space="preserve">Generated by Microsoft Copilot based on the transcript of the meeting itself. This document has been checked for errors and clarifications by both the moderators of the CoP that </w:t>
      </w:r>
      <w:proofErr w:type="gramStart"/>
      <w:r w:rsidRPr="00C8250C">
        <w:rPr>
          <w:color w:val="000000" w:themeColor="text1"/>
        </w:rPr>
        <w:t>hold</w:t>
      </w:r>
      <w:proofErr w:type="gramEnd"/>
      <w:r w:rsidRPr="00C8250C">
        <w:rPr>
          <w:color w:val="000000" w:themeColor="text1"/>
        </w:rPr>
        <w:t xml:space="preserve"> this meeting and the presenter, </w:t>
      </w:r>
      <w:r w:rsidRPr="00C8250C">
        <w:rPr>
          <w:color w:val="000000" w:themeColor="text1"/>
        </w:rPr>
        <w:t>Raji Prabhakaran</w:t>
      </w:r>
      <w:r w:rsidRPr="00C8250C">
        <w:rPr>
          <w:color w:val="000000" w:themeColor="text1"/>
        </w:rPr>
        <w:t xml:space="preserve">. If you find anything in this document that needs to be corrected or </w:t>
      </w:r>
      <w:r w:rsidR="000703B6" w:rsidRPr="00C8250C">
        <w:rPr>
          <w:color w:val="000000" w:themeColor="text1"/>
        </w:rPr>
        <w:t>clarified, please contact Kris Lynch (</w:t>
      </w:r>
      <w:hyperlink r:id="rId5" w:history="1">
        <w:r w:rsidR="000703B6" w:rsidRPr="00C8250C">
          <w:rPr>
            <w:rStyle w:val="Hyperlink"/>
          </w:rPr>
          <w:t>kris.lynch@suny.edu</w:t>
        </w:r>
      </w:hyperlink>
      <w:r w:rsidR="000703B6" w:rsidRPr="00C8250C">
        <w:rPr>
          <w:color w:val="000000" w:themeColor="text1"/>
        </w:rPr>
        <w:t xml:space="preserve">) so that can be addressed. </w:t>
      </w:r>
    </w:p>
    <w:p w14:paraId="3732C125" w14:textId="1613D7CA" w:rsidR="00C05640" w:rsidRPr="00C8250C" w:rsidRDefault="00C05640" w:rsidP="00C05640">
      <w:pPr>
        <w:pStyle w:val="NormalWeb"/>
        <w:rPr>
          <w:color w:val="000000" w:themeColor="text1"/>
          <w:kern w:val="0"/>
          <w14:ligatures w14:val="none"/>
        </w:rPr>
      </w:pPr>
      <w:r w:rsidRPr="00C8250C">
        <w:rPr>
          <w:color w:val="000000" w:themeColor="text1"/>
        </w:rPr>
        <w:t>This document is a detailed presentation and reflection on the topic of agility in higher education, spanning experiences from 2017 to 2024. The speaker, Raji Prabhakaran, shares personal insights and practical examples from prior work, particularly in IT management and organizational change within university settings. The presentation emphasizes the complexity of higher education environments, the challenges faced, and the incremental progress achievable through agile principles adapted to the unique context of academia.</w:t>
      </w:r>
    </w:p>
    <w:p w14:paraId="312888BA" w14:textId="77777777" w:rsidR="00C05640" w:rsidRPr="00C8250C" w:rsidRDefault="00C05640" w:rsidP="000703B6">
      <w:pPr>
        <w:pStyle w:val="Heading3"/>
        <w:rPr>
          <w:rFonts w:eastAsia="Times New Roman"/>
          <w:color w:val="000000" w:themeColor="text1"/>
        </w:rPr>
      </w:pPr>
      <w:r w:rsidRPr="00C8250C">
        <w:rPr>
          <w:rFonts w:eastAsia="Times New Roman"/>
          <w:color w:val="000000" w:themeColor="text1"/>
        </w:rPr>
        <w:t>Introduction and Context</w:t>
      </w:r>
    </w:p>
    <w:p w14:paraId="7B120AB4" w14:textId="79D4B191" w:rsidR="00C05640" w:rsidRPr="00C8250C" w:rsidRDefault="00C05640" w:rsidP="00C05640">
      <w:pPr>
        <w:pStyle w:val="NormalWeb"/>
        <w:rPr>
          <w:color w:val="000000" w:themeColor="text1"/>
        </w:rPr>
      </w:pPr>
      <w:r w:rsidRPr="00C8250C">
        <w:rPr>
          <w:color w:val="000000" w:themeColor="text1"/>
        </w:rPr>
        <w:t>The speaker introduces the topic by clarifying that the views expressed are personal and not representative of the current organization. The focus is on sharing observations and learnings about agility in higher education, inviting the audience to reflect on their own campuses and how similar pressures and changes might apply.</w:t>
      </w:r>
    </w:p>
    <w:p w14:paraId="7E319200" w14:textId="77777777" w:rsidR="00C05640" w:rsidRPr="00C8250C" w:rsidRDefault="00C05640" w:rsidP="000703B6">
      <w:pPr>
        <w:pStyle w:val="Heading3"/>
        <w:rPr>
          <w:rFonts w:eastAsia="Times New Roman"/>
          <w:color w:val="000000" w:themeColor="text1"/>
        </w:rPr>
      </w:pPr>
      <w:r w:rsidRPr="00C8250C">
        <w:rPr>
          <w:rFonts w:eastAsia="Times New Roman"/>
          <w:color w:val="000000" w:themeColor="text1"/>
        </w:rPr>
        <w:t>The Complexity of Higher Education Environments</w:t>
      </w:r>
    </w:p>
    <w:p w14:paraId="4EBAF885" w14:textId="5CEE8AA8" w:rsidR="00C05640" w:rsidRPr="00C8250C" w:rsidRDefault="00C05640" w:rsidP="00C05640">
      <w:pPr>
        <w:pStyle w:val="NormalWeb"/>
        <w:rPr>
          <w:color w:val="000000" w:themeColor="text1"/>
        </w:rPr>
      </w:pPr>
      <w:r w:rsidRPr="00C8250C">
        <w:rPr>
          <w:color w:val="000000" w:themeColor="text1"/>
        </w:rPr>
        <w:t>The environment in higher education is described as complex, with shared governance, siloed units, budget constraints, shifting priorities, and rapid technological changes such as AI. Ambiguity and everyday frictions like approvals and procurement processes further complicate progress. Despite these challenges, higher education is not "broken," but progress is slow and incremental, requiring honest naming of constraints and a commitment to agility to navigate them.</w:t>
      </w:r>
    </w:p>
    <w:p w14:paraId="75DCDD28" w14:textId="77777777" w:rsidR="00C05640" w:rsidRPr="00C8250C" w:rsidRDefault="00C05640" w:rsidP="000703B6">
      <w:pPr>
        <w:pStyle w:val="Heading3"/>
        <w:rPr>
          <w:rFonts w:eastAsia="Times New Roman"/>
          <w:color w:val="000000" w:themeColor="text1"/>
        </w:rPr>
      </w:pPr>
      <w:r w:rsidRPr="00C8250C">
        <w:rPr>
          <w:rFonts w:eastAsia="Times New Roman"/>
          <w:color w:val="000000" w:themeColor="text1"/>
        </w:rPr>
        <w:lastRenderedPageBreak/>
        <w:t>Building Blocks of Agility</w:t>
      </w:r>
    </w:p>
    <w:p w14:paraId="351D3561" w14:textId="77777777" w:rsidR="00C05640" w:rsidRPr="00C8250C" w:rsidRDefault="00C05640" w:rsidP="00C05640">
      <w:pPr>
        <w:pStyle w:val="NormalWeb"/>
        <w:rPr>
          <w:color w:val="000000" w:themeColor="text1"/>
        </w:rPr>
      </w:pPr>
      <w:r w:rsidRPr="00C8250C">
        <w:rPr>
          <w:color w:val="000000" w:themeColor="text1"/>
        </w:rPr>
        <w:t>Several foundational elements are proposed to foster agility in higher education:</w:t>
      </w:r>
    </w:p>
    <w:p w14:paraId="3C9588CE" w14:textId="7C587D53" w:rsidR="00C05640" w:rsidRPr="00C8250C" w:rsidRDefault="742BCD6C" w:rsidP="16069E36">
      <w:pPr>
        <w:numPr>
          <w:ilvl w:val="0"/>
          <w:numId w:val="1"/>
        </w:numPr>
        <w:spacing w:before="100" w:beforeAutospacing="1" w:after="100" w:afterAutospacing="1"/>
        <w:rPr>
          <w:rFonts w:eastAsia="Times New Roman"/>
          <w:color w:val="000000" w:themeColor="text1"/>
        </w:rPr>
      </w:pPr>
      <w:r w:rsidRPr="00C8250C">
        <w:rPr>
          <w:rStyle w:val="Strong"/>
          <w:rFonts w:eastAsia="Times New Roman"/>
          <w:color w:val="000000" w:themeColor="text1"/>
        </w:rPr>
        <w:t>Shared Purpose:</w:t>
      </w:r>
      <w:r w:rsidRPr="00C8250C">
        <w:rPr>
          <w:rFonts w:eastAsia="Times New Roman"/>
          <w:color w:val="000000" w:themeColor="text1"/>
        </w:rPr>
        <w:t xml:space="preserve"> Aligning efforts reduce complexity and helps focus on viable priorities.</w:t>
      </w:r>
    </w:p>
    <w:p w14:paraId="72085902" w14:textId="16BF0E71" w:rsidR="742BCD6C" w:rsidRPr="00C8250C" w:rsidRDefault="742BCD6C" w:rsidP="742BCD6C">
      <w:pPr>
        <w:numPr>
          <w:ilvl w:val="0"/>
          <w:numId w:val="1"/>
        </w:numPr>
        <w:spacing w:beforeAutospacing="1" w:afterAutospacing="1"/>
        <w:rPr>
          <w:color w:val="000000" w:themeColor="text1"/>
        </w:rPr>
      </w:pPr>
      <w:r w:rsidRPr="00C8250C">
        <w:rPr>
          <w:rFonts w:eastAsia="Times New Roman"/>
          <w:b/>
          <w:bCs/>
          <w:color w:val="000000" w:themeColor="text1"/>
        </w:rPr>
        <w:t>Focused Effort:</w:t>
      </w:r>
      <w:r w:rsidRPr="00C8250C">
        <w:rPr>
          <w:rFonts w:eastAsia="Times New Roman"/>
          <w:color w:val="000000" w:themeColor="text1"/>
        </w:rPr>
        <w:t xml:space="preserve"> Energy directed where it matters most.</w:t>
      </w:r>
    </w:p>
    <w:p w14:paraId="4FAE1403" w14:textId="77777777" w:rsidR="00C05640" w:rsidRPr="00C8250C" w:rsidRDefault="00C05640" w:rsidP="00C05640">
      <w:pPr>
        <w:numPr>
          <w:ilvl w:val="0"/>
          <w:numId w:val="1"/>
        </w:numPr>
        <w:spacing w:before="100" w:beforeAutospacing="1" w:after="100" w:afterAutospacing="1"/>
        <w:rPr>
          <w:rFonts w:eastAsia="Times New Roman"/>
          <w:color w:val="000000" w:themeColor="text1"/>
        </w:rPr>
      </w:pPr>
      <w:r w:rsidRPr="00C8250C">
        <w:rPr>
          <w:rStyle w:val="Strong"/>
          <w:rFonts w:eastAsia="Times New Roman"/>
          <w:color w:val="000000" w:themeColor="text1"/>
        </w:rPr>
        <w:t>Collaboration:</w:t>
      </w:r>
      <w:r w:rsidRPr="00C8250C">
        <w:rPr>
          <w:rFonts w:eastAsia="Times New Roman"/>
          <w:color w:val="000000" w:themeColor="text1"/>
        </w:rPr>
        <w:t xml:space="preserve"> Engaging stakeholders to address unclear priorities.</w:t>
      </w:r>
    </w:p>
    <w:p w14:paraId="64429460" w14:textId="77777777" w:rsidR="00C05640" w:rsidRPr="00C8250C" w:rsidRDefault="00C05640" w:rsidP="00C05640">
      <w:pPr>
        <w:numPr>
          <w:ilvl w:val="0"/>
          <w:numId w:val="1"/>
        </w:numPr>
        <w:spacing w:before="100" w:beforeAutospacing="1" w:after="100" w:afterAutospacing="1"/>
        <w:rPr>
          <w:rFonts w:eastAsia="Times New Roman"/>
          <w:color w:val="000000" w:themeColor="text1"/>
        </w:rPr>
      </w:pPr>
      <w:r w:rsidRPr="00C8250C">
        <w:rPr>
          <w:rStyle w:val="Strong"/>
          <w:rFonts w:eastAsia="Times New Roman"/>
          <w:color w:val="000000" w:themeColor="text1"/>
        </w:rPr>
        <w:t>Continuous Adaptation, Learning, and Feedback:</w:t>
      </w:r>
      <w:r w:rsidRPr="00C8250C">
        <w:rPr>
          <w:rFonts w:eastAsia="Times New Roman"/>
          <w:color w:val="000000" w:themeColor="text1"/>
        </w:rPr>
        <w:t xml:space="preserve"> Preparing for emerging technologies by involving people on the ground.</w:t>
      </w:r>
    </w:p>
    <w:p w14:paraId="6943062E" w14:textId="52BE5718" w:rsidR="00C05640" w:rsidRPr="00C8250C" w:rsidRDefault="16069E36" w:rsidP="16069E36">
      <w:pPr>
        <w:numPr>
          <w:ilvl w:val="0"/>
          <w:numId w:val="1"/>
        </w:numPr>
        <w:spacing w:before="100" w:beforeAutospacing="1" w:after="100" w:afterAutospacing="1"/>
        <w:rPr>
          <w:rFonts w:eastAsia="Times New Roman"/>
          <w:color w:val="000000" w:themeColor="text1"/>
        </w:rPr>
      </w:pPr>
      <w:r w:rsidRPr="00C8250C">
        <w:rPr>
          <w:rStyle w:val="Strong"/>
          <w:rFonts w:eastAsia="Times New Roman"/>
          <w:color w:val="000000" w:themeColor="text1"/>
        </w:rPr>
        <w:t>Diverse Perspectives and Measurable Progress:</w:t>
      </w:r>
      <w:r w:rsidRPr="00C8250C">
        <w:rPr>
          <w:rFonts w:eastAsia="Times New Roman"/>
          <w:color w:val="000000" w:themeColor="text1"/>
        </w:rPr>
        <w:t xml:space="preserve"> Inclusive approach and transparency help to reduce everyday friction.</w:t>
      </w:r>
    </w:p>
    <w:p w14:paraId="4B5114B6" w14:textId="77777777" w:rsidR="00C05640" w:rsidRPr="00C8250C" w:rsidRDefault="00C05640" w:rsidP="00C05640">
      <w:pPr>
        <w:numPr>
          <w:ilvl w:val="0"/>
          <w:numId w:val="1"/>
        </w:numPr>
        <w:spacing w:before="100" w:beforeAutospacing="1" w:after="100" w:afterAutospacing="1"/>
        <w:rPr>
          <w:rFonts w:eastAsia="Times New Roman"/>
          <w:color w:val="000000" w:themeColor="text1"/>
        </w:rPr>
      </w:pPr>
      <w:r w:rsidRPr="00C8250C">
        <w:rPr>
          <w:rStyle w:val="Strong"/>
          <w:rFonts w:eastAsia="Times New Roman"/>
          <w:color w:val="000000" w:themeColor="text1"/>
        </w:rPr>
        <w:t>Innovation:</w:t>
      </w:r>
      <w:r w:rsidRPr="00C8250C">
        <w:rPr>
          <w:rFonts w:eastAsia="Times New Roman"/>
          <w:color w:val="000000" w:themeColor="text1"/>
        </w:rPr>
        <w:t xml:space="preserve"> Addressing technical debt through new ideas.</w:t>
      </w:r>
    </w:p>
    <w:p w14:paraId="00946994" w14:textId="261A442B" w:rsidR="00C05640" w:rsidRPr="00C8250C" w:rsidRDefault="00C05640" w:rsidP="00C05640">
      <w:pPr>
        <w:pStyle w:val="NormalWeb"/>
        <w:rPr>
          <w:color w:val="000000" w:themeColor="text1"/>
        </w:rPr>
      </w:pPr>
      <w:r w:rsidRPr="00C8250C">
        <w:rPr>
          <w:color w:val="000000" w:themeColor="text1"/>
        </w:rPr>
        <w:t>These concepts are introduced as invitations to apply at individual, team, or organizational levels, rather than prescriptive solutions.</w:t>
      </w:r>
    </w:p>
    <w:p w14:paraId="58A315FA" w14:textId="77777777" w:rsidR="00C05640" w:rsidRPr="00C8250C" w:rsidRDefault="00C05640" w:rsidP="000703B6">
      <w:pPr>
        <w:pStyle w:val="Heading3"/>
        <w:rPr>
          <w:rFonts w:eastAsia="Times New Roman"/>
          <w:color w:val="000000" w:themeColor="text1"/>
        </w:rPr>
      </w:pPr>
      <w:r w:rsidRPr="00C8250C">
        <w:rPr>
          <w:rFonts w:eastAsia="Times New Roman"/>
          <w:color w:val="000000" w:themeColor="text1"/>
        </w:rPr>
        <w:t>Change Dynamics: Top-Down and Bottom-Up</w:t>
      </w:r>
    </w:p>
    <w:p w14:paraId="038EEF0B" w14:textId="6A55ED0D" w:rsidR="00C05640" w:rsidRPr="00C8250C" w:rsidRDefault="16069E36" w:rsidP="00C05640">
      <w:pPr>
        <w:pStyle w:val="NormalWeb"/>
        <w:rPr>
          <w:color w:val="000000" w:themeColor="text1"/>
        </w:rPr>
      </w:pPr>
      <w:r w:rsidRPr="00C8250C">
        <w:rPr>
          <w:color w:val="000000" w:themeColor="text1"/>
        </w:rPr>
        <w:t>Change is described as starting at the top but succeeding through bottom-up efforts. Success depends on orchestrated collaboration across the entire system, consistent leadership support, cautious optimism, and openness to new forms of collaboration. The process is slow but steady, emphasizing the importance of collective thought and dialogue without ego, inspired by the philosophy of David Bohm.</w:t>
      </w:r>
    </w:p>
    <w:p w14:paraId="1D75220F" w14:textId="77777777" w:rsidR="00C05640" w:rsidRPr="00C8250C" w:rsidRDefault="00C05640" w:rsidP="000703B6">
      <w:pPr>
        <w:pStyle w:val="Heading3"/>
        <w:rPr>
          <w:rFonts w:eastAsia="Times New Roman"/>
          <w:color w:val="000000" w:themeColor="text1"/>
        </w:rPr>
      </w:pPr>
      <w:r w:rsidRPr="00C8250C">
        <w:rPr>
          <w:rFonts w:eastAsia="Times New Roman"/>
          <w:color w:val="000000" w:themeColor="text1"/>
        </w:rPr>
        <w:t>Practical Agile Elements in Action</w:t>
      </w:r>
    </w:p>
    <w:p w14:paraId="31A8619B" w14:textId="77777777" w:rsidR="00C05640" w:rsidRPr="00C8250C" w:rsidRDefault="00C05640" w:rsidP="000703B6">
      <w:pPr>
        <w:pStyle w:val="Heading4"/>
        <w:rPr>
          <w:rFonts w:eastAsia="Times New Roman"/>
          <w:color w:val="000000" w:themeColor="text1"/>
        </w:rPr>
      </w:pPr>
      <w:r w:rsidRPr="00C8250C">
        <w:rPr>
          <w:rFonts w:eastAsia="Times New Roman"/>
          <w:color w:val="000000" w:themeColor="text1"/>
        </w:rPr>
        <w:t>Shift Left</w:t>
      </w:r>
    </w:p>
    <w:p w14:paraId="23B54E14" w14:textId="1DDA44EC" w:rsidR="00C05640" w:rsidRPr="00C8250C" w:rsidRDefault="742BCD6C" w:rsidP="742BCD6C">
      <w:pPr>
        <w:pStyle w:val="NormalWeb"/>
        <w:rPr>
          <w:color w:val="000000" w:themeColor="text1"/>
        </w:rPr>
      </w:pPr>
      <w:r w:rsidRPr="00C8250C">
        <w:rPr>
          <w:color w:val="000000" w:themeColor="text1"/>
        </w:rPr>
        <w:t>"Shift left" means engaging stakeholders early to identify quality issues or risks before they escalate, breaking down silos between teams such as IT service management and enterprise infrastructure and operations (I &amp; O). For the case study, this early engagement led to the creation of service catalogs and configuration items through collaborative workshops, even before proper tools were available. Formal incident response and change control processes were also developed with broad university participation, enabling coordinated production changes and minimizing disruptions.</w:t>
      </w:r>
    </w:p>
    <w:p w14:paraId="7D8115C7" w14:textId="77777777" w:rsidR="00C05640" w:rsidRPr="00C8250C" w:rsidRDefault="00C05640" w:rsidP="000703B6">
      <w:pPr>
        <w:pStyle w:val="Heading4"/>
        <w:rPr>
          <w:rFonts w:eastAsia="Times New Roman"/>
          <w:color w:val="000000" w:themeColor="text1"/>
        </w:rPr>
      </w:pPr>
      <w:r w:rsidRPr="00C8250C">
        <w:rPr>
          <w:rFonts w:eastAsia="Times New Roman"/>
          <w:color w:val="000000" w:themeColor="text1"/>
        </w:rPr>
        <w:lastRenderedPageBreak/>
        <w:t>Value-Driven Delivery and Value Stream Mapping</w:t>
      </w:r>
    </w:p>
    <w:p w14:paraId="5C2D5C31" w14:textId="0277BA36" w:rsidR="00C05640" w:rsidRPr="00C8250C" w:rsidRDefault="742BCD6C" w:rsidP="742BCD6C">
      <w:pPr>
        <w:pStyle w:val="NormalWeb"/>
        <w:rPr>
          <w:color w:val="000000" w:themeColor="text1"/>
        </w:rPr>
      </w:pPr>
      <w:r w:rsidRPr="00C8250C">
        <w:rPr>
          <w:color w:val="000000" w:themeColor="text1"/>
        </w:rPr>
        <w:t>Efforts were made to connect every operational ticket or new idea back to the university's strategic goals, helping teams understand their contribution to the broader mission. Work was classified and tracked to show time spent on various activities, enabling better resource allocation and justification for talent acquisitions. Leadership at multiple levels engaged openly with teams, and outcome-driven metrics were emphasized over mere outputs. This foundation facilitated cloud adoption and other initiatives, with continuous accountability and customer-oriented mindsets fostering progress.</w:t>
      </w:r>
    </w:p>
    <w:p w14:paraId="3A81ED22" w14:textId="4DD60BD2" w:rsidR="742BCD6C" w:rsidRPr="00C8250C" w:rsidRDefault="742BCD6C" w:rsidP="000703B6">
      <w:pPr>
        <w:pStyle w:val="Heading4"/>
        <w:rPr>
          <w:rFonts w:eastAsia="Times New Roman"/>
          <w:color w:val="000000" w:themeColor="text1"/>
        </w:rPr>
      </w:pPr>
      <w:r w:rsidRPr="00C8250C">
        <w:rPr>
          <w:rFonts w:eastAsia="Times New Roman"/>
          <w:color w:val="000000" w:themeColor="text1"/>
        </w:rPr>
        <w:t>Pivot</w:t>
      </w:r>
    </w:p>
    <w:p w14:paraId="3CE72874" w14:textId="7FBD259E" w:rsidR="742BCD6C" w:rsidRPr="00C8250C" w:rsidRDefault="742BCD6C" w:rsidP="742BCD6C">
      <w:pPr>
        <w:pStyle w:val="NormalWeb"/>
        <w:rPr>
          <w:color w:val="000000" w:themeColor="text1"/>
        </w:rPr>
      </w:pPr>
      <w:r w:rsidRPr="00C8250C">
        <w:rPr>
          <w:color w:val="000000" w:themeColor="text1"/>
        </w:rPr>
        <w:t>An agile mindset helps any deliberate shift in strategy to keep the vision, but there is a need to test a new path. This is different from giving up: a pivot preserves learning and redirects effort toward a better path. The example given was the continuation of weekly sprints with remote work for delivering workloads during pandemic while shifting the priorities from cloud adoption to everyday operations.</w:t>
      </w:r>
    </w:p>
    <w:p w14:paraId="5336A907" w14:textId="77777777" w:rsidR="00C05640" w:rsidRPr="00C8250C" w:rsidRDefault="00C05640" w:rsidP="000703B6">
      <w:pPr>
        <w:pStyle w:val="Heading4"/>
        <w:rPr>
          <w:rFonts w:eastAsia="Times New Roman"/>
          <w:color w:val="000000" w:themeColor="text1"/>
        </w:rPr>
      </w:pPr>
      <w:r w:rsidRPr="00C8250C">
        <w:rPr>
          <w:rFonts w:eastAsia="Times New Roman"/>
          <w:color w:val="000000" w:themeColor="text1"/>
        </w:rPr>
        <w:t>Scrum and Agile Practices</w:t>
      </w:r>
    </w:p>
    <w:p w14:paraId="72FF5A97" w14:textId="388C1A5E" w:rsidR="00C05640" w:rsidRPr="00C8250C" w:rsidRDefault="16069E36" w:rsidP="00C05640">
      <w:pPr>
        <w:pStyle w:val="NormalWeb"/>
        <w:rPr>
          <w:color w:val="000000" w:themeColor="text1"/>
        </w:rPr>
      </w:pPr>
      <w:r w:rsidRPr="00C8250C">
        <w:rPr>
          <w:color w:val="000000" w:themeColor="text1"/>
        </w:rPr>
        <w:t>The team adopted Scrum cycles for project delivery, including weekly sprint planning, daily stand-ups, and retrospectives. These practices were conducted entirely remotely and fostered accountability, transparency, and continuous improvement. Working agreements were established to respect participants’ time and encourage full engagement. The use of an "Andon cord" concept allowed anyone to raise concerns and halt processes to address issues early. Tools like Jira, Confluence, and later Team Dynamics supported backlog management and release engagement, although the human commitment to agile principles was emphasized over technology.</w:t>
      </w:r>
    </w:p>
    <w:p w14:paraId="49434605" w14:textId="77777777" w:rsidR="00C05640" w:rsidRPr="00C8250C" w:rsidRDefault="00C05640" w:rsidP="000703B6">
      <w:pPr>
        <w:pStyle w:val="Heading4"/>
        <w:rPr>
          <w:rFonts w:eastAsia="Times New Roman"/>
          <w:color w:val="000000" w:themeColor="text1"/>
        </w:rPr>
      </w:pPr>
      <w:r w:rsidRPr="00C8250C">
        <w:rPr>
          <w:rFonts w:eastAsia="Times New Roman"/>
          <w:color w:val="000000" w:themeColor="text1"/>
        </w:rPr>
        <w:t>Kaizen and Retrospectives</w:t>
      </w:r>
    </w:p>
    <w:p w14:paraId="34E20EB3" w14:textId="53610C77" w:rsidR="00C05640" w:rsidRPr="00C8250C" w:rsidRDefault="00C05640" w:rsidP="00C05640">
      <w:pPr>
        <w:pStyle w:val="NormalWeb"/>
        <w:rPr>
          <w:color w:val="000000" w:themeColor="text1"/>
        </w:rPr>
      </w:pPr>
      <w:r w:rsidRPr="00C8250C">
        <w:rPr>
          <w:color w:val="000000" w:themeColor="text1"/>
        </w:rPr>
        <w:t>Continuous small improvements (Kaizen) were embedded in work patterns, empowering individuals and teams to learn from problems without blame. Retrospectives provided forums for honest reflection, accountability, and celebration of successes, contributing to behavioral changes and stronger team dynamics over time. The retrospective process was explicitly framed as blameless and essential for immediate learning.</w:t>
      </w:r>
    </w:p>
    <w:p w14:paraId="5F5ABD8B" w14:textId="77777777" w:rsidR="00C05640" w:rsidRPr="00C8250C" w:rsidRDefault="00C05640" w:rsidP="000703B6">
      <w:pPr>
        <w:pStyle w:val="Heading3"/>
        <w:rPr>
          <w:rFonts w:eastAsia="Times New Roman"/>
          <w:color w:val="000000" w:themeColor="text1"/>
        </w:rPr>
      </w:pPr>
      <w:r w:rsidRPr="00C8250C">
        <w:rPr>
          <w:rFonts w:eastAsia="Times New Roman"/>
          <w:color w:val="000000" w:themeColor="text1"/>
        </w:rPr>
        <w:lastRenderedPageBreak/>
        <w:t>Technology and Communication Tools</w:t>
      </w:r>
    </w:p>
    <w:p w14:paraId="37267981" w14:textId="236E101B" w:rsidR="00C05640" w:rsidRPr="00C8250C" w:rsidRDefault="16069E36" w:rsidP="00C05640">
      <w:pPr>
        <w:pStyle w:val="NormalWeb"/>
        <w:rPr>
          <w:color w:val="000000" w:themeColor="text1"/>
        </w:rPr>
      </w:pPr>
      <w:r w:rsidRPr="00C8250C">
        <w:rPr>
          <w:color w:val="000000" w:themeColor="text1"/>
        </w:rPr>
        <w:t>While Microsoft Teams was used for communication, Jira and Confluence were primary tools for project tracking initially. Later, the team transitioned to Team Dynamics (TDX) with release management and planning. During the COVID-19 pandemic, rapid shifts to remote work and cloud services like AWS Connect were successfully managed, relying heavily on established agile practices and communication channels.</w:t>
      </w:r>
    </w:p>
    <w:p w14:paraId="5A1014F1" w14:textId="77777777" w:rsidR="00C05640" w:rsidRPr="00C8250C" w:rsidRDefault="00C05640" w:rsidP="000703B6">
      <w:pPr>
        <w:pStyle w:val="Heading3"/>
        <w:rPr>
          <w:rFonts w:eastAsia="Times New Roman"/>
          <w:color w:val="000000" w:themeColor="text1"/>
        </w:rPr>
      </w:pPr>
      <w:r w:rsidRPr="00C8250C">
        <w:rPr>
          <w:rFonts w:eastAsia="Times New Roman"/>
          <w:color w:val="000000" w:themeColor="text1"/>
        </w:rPr>
        <w:t>Organizational Culture and Sustainability</w:t>
      </w:r>
    </w:p>
    <w:p w14:paraId="36003B8A" w14:textId="1AF858CE" w:rsidR="00C05640" w:rsidRPr="00C8250C" w:rsidRDefault="16069E36" w:rsidP="00C05640">
      <w:pPr>
        <w:pStyle w:val="NormalWeb"/>
        <w:rPr>
          <w:color w:val="000000" w:themeColor="text1"/>
        </w:rPr>
      </w:pPr>
      <w:r w:rsidRPr="00C8250C">
        <w:rPr>
          <w:color w:val="000000" w:themeColor="text1"/>
        </w:rPr>
        <w:t>The presentation highlights the importance of creating a safe environment for communication and collaboration. Regular stakeholder meetings across departments ensured transparency and alignment, preventing surprises and fostering buy-</w:t>
      </w:r>
      <w:proofErr w:type="gramStart"/>
      <w:r w:rsidRPr="00C8250C">
        <w:rPr>
          <w:color w:val="000000" w:themeColor="text1"/>
        </w:rPr>
        <w:t>in</w:t>
      </w:r>
      <w:proofErr w:type="gramEnd"/>
      <w:r w:rsidRPr="00C8250C">
        <w:rPr>
          <w:color w:val="000000" w:themeColor="text1"/>
        </w:rPr>
        <w:t>. Despite challenges such as staff turnover and salary competition, a core group remained committed to the work. The agile system and practices persisted beyond the tenure of key leaders, demonstrating resilience and independence from specific technologies.</w:t>
      </w:r>
    </w:p>
    <w:p w14:paraId="41F8FCBE" w14:textId="77777777" w:rsidR="00C05640" w:rsidRPr="00C8250C" w:rsidRDefault="00C05640" w:rsidP="000703B6">
      <w:pPr>
        <w:pStyle w:val="Heading3"/>
        <w:rPr>
          <w:rFonts w:eastAsia="Times New Roman"/>
          <w:color w:val="000000" w:themeColor="text1"/>
        </w:rPr>
      </w:pPr>
      <w:r w:rsidRPr="00C8250C">
        <w:rPr>
          <w:rFonts w:eastAsia="Times New Roman"/>
          <w:color w:val="000000" w:themeColor="text1"/>
        </w:rPr>
        <w:t>Closing Thoughts</w:t>
      </w:r>
    </w:p>
    <w:p w14:paraId="0804D62D" w14:textId="58DF6381" w:rsidR="00C05640" w:rsidRPr="00C8250C" w:rsidRDefault="742BCD6C" w:rsidP="16069E36">
      <w:pPr>
        <w:pStyle w:val="NormalWeb"/>
        <w:rPr>
          <w:color w:val="000000" w:themeColor="text1"/>
        </w:rPr>
      </w:pPr>
      <w:r w:rsidRPr="00C8250C">
        <w:rPr>
          <w:color w:val="000000" w:themeColor="text1"/>
        </w:rPr>
        <w:t>Agility in higher education is framed as a collective effort where teams can go farther by drafting each other, sharing the lead, holding the line, and conserving energy like a flock of birds. The focus is on value streams, shifting quality left, blameless retrospectives, and unified direction. The speaker shares inspiration from leadership optimism and encourages readiness for change, emphasizing that the groundwork laid enables organizations to face uncertain futures effectively.</w:t>
      </w:r>
    </w:p>
    <w:p w14:paraId="5A2BB613" w14:textId="174D97DC" w:rsidR="00C05640" w:rsidRPr="00C8250C" w:rsidRDefault="00C05640" w:rsidP="00C05640">
      <w:pPr>
        <w:pStyle w:val="NormalWeb"/>
        <w:rPr>
          <w:color w:val="000000" w:themeColor="text1"/>
        </w:rPr>
      </w:pPr>
      <w:r w:rsidRPr="00C8250C">
        <w:rPr>
          <w:color w:val="000000" w:themeColor="text1"/>
        </w:rPr>
        <w:t>This comprehensive overview of agility in higher education blends theory, philosophy, and detailed practical examples from IT and organizational change efforts. It underscores the value of collaboration, transparency, continuous learning, and adaptive leadership in navigating the complexities of academic institutions.</w:t>
      </w:r>
    </w:p>
    <w:p w14:paraId="687693FB" w14:textId="77777777" w:rsidR="00FE5B87" w:rsidRPr="00C8250C" w:rsidRDefault="00FE5B87">
      <w:pPr>
        <w:rPr>
          <w:color w:val="000000" w:themeColor="text1"/>
        </w:rPr>
      </w:pPr>
    </w:p>
    <w:sectPr w:rsidR="00FE5B87" w:rsidRPr="00C8250C" w:rsidSect="00C05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344B7"/>
    <w:multiLevelType w:val="multilevel"/>
    <w:tmpl w:val="EB14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56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oViNQNbXcxVpaB2TjgM0HCD1tTKB4eG8opF3T+eYJoskkU5ihrUup+iy796Ri+hhncm6E7XKSTNsQL0fGIgFw==" w:salt="bAoS28L88+crHD788xbu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40"/>
    <w:rsid w:val="000703B6"/>
    <w:rsid w:val="001C05DA"/>
    <w:rsid w:val="00310C9C"/>
    <w:rsid w:val="00325C01"/>
    <w:rsid w:val="003C304D"/>
    <w:rsid w:val="005620DF"/>
    <w:rsid w:val="00567E85"/>
    <w:rsid w:val="0090127D"/>
    <w:rsid w:val="00A73FC1"/>
    <w:rsid w:val="00C05640"/>
    <w:rsid w:val="00C8250C"/>
    <w:rsid w:val="00D05F4C"/>
    <w:rsid w:val="00D472DD"/>
    <w:rsid w:val="00E047C4"/>
    <w:rsid w:val="00E21081"/>
    <w:rsid w:val="00FE5B87"/>
    <w:rsid w:val="16069E36"/>
    <w:rsid w:val="742BC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12CA"/>
  <w15:chartTrackingRefBased/>
  <w15:docId w15:val="{7E50B5B7-425B-4F6E-A18E-84296BEC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40"/>
    <w:rPr>
      <w:rFonts w:eastAsiaTheme="minorEastAsia"/>
    </w:rPr>
  </w:style>
  <w:style w:type="paragraph" w:styleId="Heading1">
    <w:name w:val="heading 1"/>
    <w:basedOn w:val="Normal"/>
    <w:next w:val="Normal"/>
    <w:link w:val="Heading1Char"/>
    <w:uiPriority w:val="9"/>
    <w:qFormat/>
    <w:rsid w:val="00C05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5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5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5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5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5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05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640"/>
    <w:rPr>
      <w:rFonts w:eastAsiaTheme="majorEastAsia" w:cstheme="majorBidi"/>
      <w:color w:val="272727" w:themeColor="text1" w:themeTint="D8"/>
    </w:rPr>
  </w:style>
  <w:style w:type="paragraph" w:styleId="Title">
    <w:name w:val="Title"/>
    <w:basedOn w:val="Normal"/>
    <w:next w:val="Normal"/>
    <w:link w:val="TitleChar"/>
    <w:uiPriority w:val="10"/>
    <w:qFormat/>
    <w:rsid w:val="00C0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640"/>
    <w:pPr>
      <w:spacing w:before="160"/>
      <w:jc w:val="center"/>
    </w:pPr>
    <w:rPr>
      <w:i/>
      <w:iCs/>
      <w:color w:val="404040" w:themeColor="text1" w:themeTint="BF"/>
    </w:rPr>
  </w:style>
  <w:style w:type="character" w:customStyle="1" w:styleId="QuoteChar">
    <w:name w:val="Quote Char"/>
    <w:basedOn w:val="DefaultParagraphFont"/>
    <w:link w:val="Quote"/>
    <w:uiPriority w:val="29"/>
    <w:rsid w:val="00C05640"/>
    <w:rPr>
      <w:i/>
      <w:iCs/>
      <w:color w:val="404040" w:themeColor="text1" w:themeTint="BF"/>
    </w:rPr>
  </w:style>
  <w:style w:type="paragraph" w:styleId="ListParagraph">
    <w:name w:val="List Paragraph"/>
    <w:basedOn w:val="Normal"/>
    <w:uiPriority w:val="34"/>
    <w:qFormat/>
    <w:rsid w:val="00C05640"/>
    <w:pPr>
      <w:ind w:left="720"/>
      <w:contextualSpacing/>
    </w:pPr>
  </w:style>
  <w:style w:type="character" w:styleId="IntenseEmphasis">
    <w:name w:val="Intense Emphasis"/>
    <w:basedOn w:val="DefaultParagraphFont"/>
    <w:uiPriority w:val="21"/>
    <w:qFormat/>
    <w:rsid w:val="00C05640"/>
    <w:rPr>
      <w:i/>
      <w:iCs/>
      <w:color w:val="0F4761" w:themeColor="accent1" w:themeShade="BF"/>
    </w:rPr>
  </w:style>
  <w:style w:type="paragraph" w:styleId="IntenseQuote">
    <w:name w:val="Intense Quote"/>
    <w:basedOn w:val="Normal"/>
    <w:next w:val="Normal"/>
    <w:link w:val="IntenseQuoteChar"/>
    <w:uiPriority w:val="30"/>
    <w:qFormat/>
    <w:rsid w:val="00C05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640"/>
    <w:rPr>
      <w:i/>
      <w:iCs/>
      <w:color w:val="0F4761" w:themeColor="accent1" w:themeShade="BF"/>
    </w:rPr>
  </w:style>
  <w:style w:type="character" w:styleId="IntenseReference">
    <w:name w:val="Intense Reference"/>
    <w:basedOn w:val="DefaultParagraphFont"/>
    <w:uiPriority w:val="32"/>
    <w:qFormat/>
    <w:rsid w:val="00C05640"/>
    <w:rPr>
      <w:b/>
      <w:bCs/>
      <w:smallCaps/>
      <w:color w:val="0F4761" w:themeColor="accent1" w:themeShade="BF"/>
      <w:spacing w:val="5"/>
    </w:rPr>
  </w:style>
  <w:style w:type="paragraph" w:styleId="NormalWeb">
    <w:name w:val="Normal (Web)"/>
    <w:basedOn w:val="Normal"/>
    <w:uiPriority w:val="99"/>
    <w:semiHidden/>
    <w:unhideWhenUsed/>
    <w:rsid w:val="00C05640"/>
    <w:pPr>
      <w:spacing w:before="100" w:beforeAutospacing="1" w:after="100" w:afterAutospacing="1"/>
    </w:pPr>
  </w:style>
  <w:style w:type="character" w:styleId="Strong">
    <w:name w:val="Strong"/>
    <w:basedOn w:val="DefaultParagraphFont"/>
    <w:uiPriority w:val="22"/>
    <w:qFormat/>
    <w:rsid w:val="00C05640"/>
    <w:rPr>
      <w:b/>
      <w:bCs/>
    </w:rPr>
  </w:style>
  <w:style w:type="character" w:styleId="Hyperlink">
    <w:name w:val="Hyperlink"/>
    <w:basedOn w:val="DefaultParagraphFont"/>
    <w:uiPriority w:val="99"/>
    <w:unhideWhenUsed/>
    <w:rsid w:val="000703B6"/>
    <w:rPr>
      <w:color w:val="467886" w:themeColor="hyperlink"/>
      <w:u w:val="single"/>
    </w:rPr>
  </w:style>
  <w:style w:type="character" w:styleId="UnresolvedMention">
    <w:name w:val="Unresolved Mention"/>
    <w:basedOn w:val="DefaultParagraphFont"/>
    <w:uiPriority w:val="99"/>
    <w:semiHidden/>
    <w:unhideWhenUsed/>
    <w:rsid w:val="0007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lynch@sun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1057</Words>
  <Characters>6693</Characters>
  <Application>Microsoft Office Word</Application>
  <DocSecurity>8</DocSecurity>
  <Lines>107</Lines>
  <Paragraphs>42</Paragraphs>
  <ScaleCrop>false</ScaleCrop>
  <Company>SUNY System Administration</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Kris</dc:creator>
  <cp:keywords/>
  <dc:description/>
  <cp:lastModifiedBy>Lynch, Kris</cp:lastModifiedBy>
  <cp:revision>10</cp:revision>
  <dcterms:created xsi:type="dcterms:W3CDTF">2026-06-25T17:48:00Z</dcterms:created>
  <dcterms:modified xsi:type="dcterms:W3CDTF">2026-06-26T16:21:00Z</dcterms:modified>
</cp:coreProperties>
</file>